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7361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📋</w:t>
      </w: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PA SLP LICENSE RENEWAL GUIDE (2026)</w:t>
      </w:r>
    </w:p>
    <w:p w14:paraId="60A93C5C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State Board of Examiners in Speech-Language Pathology and Audiology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[</w:t>
      </w:r>
      <w:hyperlink r:id="rId5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577D7361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🚨</w:t>
      </w: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CRITICAL DEADLINES &amp; FEES</w:t>
      </w:r>
    </w:p>
    <w:p w14:paraId="02C047E7" w14:textId="77777777" w:rsidR="002158F7" w:rsidRPr="002158F7" w:rsidRDefault="002158F7" w:rsidP="002158F7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Renewal Deadline: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July 31, 2026</w:t>
      </w:r>
    </w:p>
    <w:p w14:paraId="25931F78" w14:textId="77777777" w:rsidR="002158F7" w:rsidRPr="002158F7" w:rsidRDefault="002158F7" w:rsidP="002158F7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Portal Window: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Applications open roughly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60 days prior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to expiration (late May 2026).</w:t>
      </w:r>
    </w:p>
    <w:p w14:paraId="182AFB11" w14:textId="77777777" w:rsidR="002158F7" w:rsidRPr="002158F7" w:rsidRDefault="002158F7" w:rsidP="002158F7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Renewal Cost: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$65.00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standard fee paid online via credit/debit card.</w:t>
      </w:r>
    </w:p>
    <w:p w14:paraId="43EE75B2" w14:textId="77777777" w:rsidR="002158F7" w:rsidRPr="002158F7" w:rsidRDefault="002158F7" w:rsidP="002158F7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License Expiration: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Failing to complete the portal payment by 11:59 PM on July 31 will cause your license to lapse. [</w:t>
      </w:r>
      <w:hyperlink r:id="rId6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7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2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8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3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9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4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0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5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2E26022F" w14:textId="77777777" w:rsidR="002158F7" w:rsidRPr="002158F7" w:rsidRDefault="002158F7" w:rsidP="002158F7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2158F7">
        <w:rPr>
          <w:rFonts w:ascii="Times New Roman" w:eastAsia="Times New Roman" w:hAnsi="Times New Roman" w:cs="Times New Roman"/>
          <w:kern w:val="0"/>
          <w14:ligatures w14:val="none"/>
        </w:rPr>
        <w:pict w14:anchorId="59E88467">
          <v:rect id="_x0000_i1025" style="width:0;height:1.5pt" o:hralign="center" o:hrstd="t" o:hr="t" fillcolor="#a0a0a0" stroked="f"/>
        </w:pict>
      </w:r>
    </w:p>
    <w:p w14:paraId="032E9AB9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💡</w:t>
      </w: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PRE-REQUISITE CHECKLIST</w:t>
      </w:r>
    </w:p>
    <w:p w14:paraId="2DF24FEC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Before opening the state licensing portal, ensure you have fulfilled the following educational criteria: [</w:t>
      </w:r>
      <w:hyperlink r:id="rId11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43F0EABA" w14:textId="77777777" w:rsidR="002158F7" w:rsidRPr="002158F7" w:rsidRDefault="002158F7" w:rsidP="002158F7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20 Hours of Continuing Education (CE):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Must be earned between August 1, 2024, and July 31, 2026. Courses must be </w:t>
      </w:r>
      <w:hyperlink r:id="rId12" w:tgtFrame="_blank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ASHA-approved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or board-accepted. [</w:t>
      </w:r>
      <w:hyperlink r:id="rId13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14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2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0C69B1D2" w14:textId="77777777" w:rsidR="002158F7" w:rsidRPr="002158F7" w:rsidRDefault="002158F7" w:rsidP="002158F7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2 Hours of Act 31 Training: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Mandatory child abuse recognition and reporting coursework. [</w:t>
      </w:r>
      <w:hyperlink r:id="rId15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4DD78D5F" w14:textId="77777777" w:rsidR="002158F7" w:rsidRPr="002158F7" w:rsidRDefault="002158F7" w:rsidP="002158F7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Electronic CE Verification: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Act 31 course providers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must upload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certificates to your account. The board does not accept manual student uploads for this requirement. Allow up to 7 business days for electronic sync. [</w:t>
      </w:r>
      <w:hyperlink r:id="rId16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6157454F" w14:textId="77777777" w:rsidR="002158F7" w:rsidRPr="002158F7" w:rsidRDefault="002158F7" w:rsidP="002158F7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Exemptions: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Office management or business-building courses are strictly prohibited. [</w:t>
      </w:r>
      <w:hyperlink r:id="rId17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6C0AD2B2" w14:textId="77777777" w:rsidR="002158F7" w:rsidRPr="002158F7" w:rsidRDefault="002158F7" w:rsidP="002158F7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2158F7">
        <w:rPr>
          <w:rFonts w:ascii="Times New Roman" w:eastAsia="Times New Roman" w:hAnsi="Times New Roman" w:cs="Times New Roman"/>
          <w:kern w:val="0"/>
          <w14:ligatures w14:val="none"/>
        </w:rPr>
        <w:pict w14:anchorId="482C5A41">
          <v:rect id="_x0000_i1026" style="width:0;height:1.5pt" o:hralign="center" o:hrstd="t" o:hr="t" fillcolor="#a0a0a0" stroked="f"/>
        </w:pict>
      </w:r>
    </w:p>
    <w:p w14:paraId="7641DF30" w14:textId="183474A3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💻</w:t>
      </w: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STEP-BY-STEP PALS PORTAL INSTRUCTIONS</w:t>
      </w:r>
    </w:p>
    <w:p w14:paraId="581C1D43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Step 1: Access the System</w:t>
      </w:r>
    </w:p>
    <w:p w14:paraId="499B71AD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Navigate directly to the official </w:t>
      </w:r>
      <w:hyperlink r:id="rId18" w:tgtFrame="_blank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Pennsylvania Licensing System (PALS) Portal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. []</w:t>
      </w:r>
    </w:p>
    <w:p w14:paraId="6B64C79F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Step 2: Account Login</w:t>
      </w:r>
    </w:p>
    <w:p w14:paraId="144B0D6F" w14:textId="77777777" w:rsidR="002158F7" w:rsidRPr="002158F7" w:rsidRDefault="002158F7" w:rsidP="002158F7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Input your established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User ID and Password</w:t>
      </w:r>
      <w:r w:rsidRPr="002158F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1E4F19BE" w14:textId="77777777" w:rsidR="002158F7" w:rsidRPr="002158F7" w:rsidRDefault="002158F7" w:rsidP="002158F7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Utilize the recover tools on screen if you have lost credentials.</w:t>
      </w:r>
    </w:p>
    <w:p w14:paraId="5B9B4D43" w14:textId="77777777" w:rsidR="002158F7" w:rsidRPr="002158F7" w:rsidRDefault="002158F7" w:rsidP="002158F7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Review and update your current address profile immediately upon entering. [</w:t>
      </w:r>
      <w:hyperlink r:id="rId19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6FEFE8DD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Step 3: Initiate Renewal Application [</w:t>
      </w:r>
      <w:hyperlink r:id="rId20" w:history="1">
        <w:r w:rsidRPr="002158F7">
          <w:rPr>
            <w:rFonts w:ascii="Roboto" w:eastAsia="Times New Roman" w:hAnsi="Robot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]</w:t>
      </w:r>
    </w:p>
    <w:p w14:paraId="61C56B35" w14:textId="77777777" w:rsidR="002158F7" w:rsidRPr="002158F7" w:rsidRDefault="002158F7" w:rsidP="002158F7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Locate your dashboard page and click the green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"Renew" box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at the upper section of the site.</w:t>
      </w:r>
    </w:p>
    <w:p w14:paraId="6DAEB315" w14:textId="77777777" w:rsidR="002158F7" w:rsidRPr="002158F7" w:rsidRDefault="002158F7" w:rsidP="002158F7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Select your active Speech-Language Pathologist license number from the drop-down menu. []</w:t>
      </w:r>
    </w:p>
    <w:p w14:paraId="62191CDF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Step 4: Complete Questions &amp; Attestation</w:t>
      </w:r>
    </w:p>
    <w:p w14:paraId="787574BE" w14:textId="77777777" w:rsidR="002158F7" w:rsidRPr="002158F7" w:rsidRDefault="002158F7" w:rsidP="002158F7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Answer all legal, background, and continuing education disclosure prompts honestly.</w:t>
      </w:r>
    </w:p>
    <w:p w14:paraId="4D0CA624" w14:textId="77777777" w:rsidR="002158F7" w:rsidRPr="002158F7" w:rsidRDefault="002158F7" w:rsidP="002158F7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Electronically sign your name to swear you completed your required 20 hours of CE. [</w:t>
      </w:r>
      <w:hyperlink r:id="rId21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1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hyperlink r:id="rId22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3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794E9C80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Step 5: Shopping Cart and Online Payment</w:t>
      </w:r>
    </w:p>
    <w:p w14:paraId="57D6CA24" w14:textId="77777777" w:rsidR="002158F7" w:rsidRPr="002158F7" w:rsidRDefault="002158F7" w:rsidP="002158F7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Click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"Continue"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to transition to the summary overview page.</w:t>
      </w:r>
    </w:p>
    <w:p w14:paraId="6615B9CB" w14:textId="77777777" w:rsidR="002158F7" w:rsidRPr="002158F7" w:rsidRDefault="002158F7" w:rsidP="002158F7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Select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"Add to Cart"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and enter your card billing data to process the $65 fee.</w:t>
      </w:r>
    </w:p>
    <w:p w14:paraId="6A857E1B" w14:textId="77777777" w:rsidR="002158F7" w:rsidRPr="002158F7" w:rsidRDefault="002158F7" w:rsidP="002158F7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kern w:val="0"/>
          <w14:ligatures w14:val="none"/>
        </w:rPr>
        <w:t>Submit the file and check your inbox for an automatic confirmation receipt. []</w:t>
      </w:r>
    </w:p>
    <w:p w14:paraId="1E43B817" w14:textId="77777777" w:rsidR="002158F7" w:rsidRPr="002158F7" w:rsidRDefault="002158F7" w:rsidP="002158F7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2158F7">
        <w:rPr>
          <w:rFonts w:ascii="Times New Roman" w:eastAsia="Times New Roman" w:hAnsi="Times New Roman" w:cs="Times New Roman"/>
          <w:kern w:val="0"/>
          <w14:ligatures w14:val="none"/>
        </w:rPr>
        <w:pict w14:anchorId="688F4C99">
          <v:rect id="_x0000_i1027" style="width:0;height:1.5pt" o:hralign="center" o:hrstd="t" o:hr="t" fillcolor="#a0a0a0" stroked="f"/>
        </w:pict>
      </w:r>
    </w:p>
    <w:p w14:paraId="26F9FB83" w14:textId="77777777" w:rsidR="002158F7" w:rsidRPr="002158F7" w:rsidRDefault="002158F7" w:rsidP="002158F7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2158F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🔍</w:t>
      </w:r>
      <w:r w:rsidRPr="002158F7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POST-RENEWAL VERIFICATION</w:t>
      </w:r>
    </w:p>
    <w:p w14:paraId="5F328A0F" w14:textId="77777777" w:rsidR="002158F7" w:rsidRPr="002158F7" w:rsidRDefault="002158F7" w:rsidP="002158F7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Email Confirmation: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Received immediately following checkout submission.</w:t>
      </w:r>
    </w:p>
    <w:p w14:paraId="30E74781" w14:textId="77777777" w:rsidR="002158F7" w:rsidRPr="002158F7" w:rsidRDefault="002158F7" w:rsidP="002158F7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Public Verification: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Employers can instantly track active statuses via the public PALS Verification Page.</w:t>
      </w:r>
    </w:p>
    <w:p w14:paraId="33AEE27A" w14:textId="77777777" w:rsidR="002158F7" w:rsidRPr="002158F7" w:rsidRDefault="002158F7" w:rsidP="002158F7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Physical Delivery: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 Hardcopy wallet licenses print and ship via mail in </w:t>
      </w:r>
      <w:r w:rsidRPr="002158F7">
        <w:rPr>
          <w:rFonts w:ascii="Roboto" w:eastAsia="Times New Roman" w:hAnsi="Roboto" w:cs="Times New Roman"/>
          <w:b/>
          <w:bCs/>
          <w:kern w:val="0"/>
          <w14:ligatures w14:val="none"/>
        </w:rPr>
        <w:t>10 to 14 business days</w:t>
      </w:r>
      <w:r w:rsidRPr="002158F7">
        <w:rPr>
          <w:rFonts w:ascii="Roboto" w:eastAsia="Times New Roman" w:hAnsi="Roboto" w:cs="Times New Roman"/>
          <w:kern w:val="0"/>
          <w14:ligatures w14:val="none"/>
        </w:rPr>
        <w:t xml:space="preserve">. [, </w:t>
      </w:r>
      <w:hyperlink r:id="rId23" w:history="1">
        <w:r w:rsidRPr="002158F7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2</w:t>
        </w:r>
      </w:hyperlink>
      <w:r w:rsidRPr="002158F7">
        <w:rPr>
          <w:rFonts w:ascii="Roboto" w:eastAsia="Times New Roman" w:hAnsi="Roboto" w:cs="Times New Roman"/>
          <w:kern w:val="0"/>
          <w14:ligatures w14:val="none"/>
        </w:rPr>
        <w:t>]</w:t>
      </w:r>
    </w:p>
    <w:p w14:paraId="67EE3176" w14:textId="77777777" w:rsidR="00FE5212" w:rsidRDefault="00FE5212"/>
    <w:sectPr w:rsidR="00FE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6213"/>
    <w:multiLevelType w:val="multilevel"/>
    <w:tmpl w:val="7E5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6052"/>
    <w:multiLevelType w:val="multilevel"/>
    <w:tmpl w:val="D30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A1872"/>
    <w:multiLevelType w:val="multilevel"/>
    <w:tmpl w:val="FAE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00DC4"/>
    <w:multiLevelType w:val="multilevel"/>
    <w:tmpl w:val="31AE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928BD"/>
    <w:multiLevelType w:val="multilevel"/>
    <w:tmpl w:val="492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B1B92"/>
    <w:multiLevelType w:val="multilevel"/>
    <w:tmpl w:val="D136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047E8"/>
    <w:multiLevelType w:val="multilevel"/>
    <w:tmpl w:val="91C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8920">
    <w:abstractNumId w:val="3"/>
  </w:num>
  <w:num w:numId="2" w16cid:durableId="846599500">
    <w:abstractNumId w:val="0"/>
  </w:num>
  <w:num w:numId="3" w16cid:durableId="1223785940">
    <w:abstractNumId w:val="1"/>
  </w:num>
  <w:num w:numId="4" w16cid:durableId="686096788">
    <w:abstractNumId w:val="6"/>
  </w:num>
  <w:num w:numId="5" w16cid:durableId="1301038149">
    <w:abstractNumId w:val="2"/>
  </w:num>
  <w:num w:numId="6" w16cid:durableId="32733904">
    <w:abstractNumId w:val="4"/>
  </w:num>
  <w:num w:numId="7" w16cid:durableId="295569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F7"/>
    <w:rsid w:val="001E10D5"/>
    <w:rsid w:val="002158F7"/>
    <w:rsid w:val="005378F2"/>
    <w:rsid w:val="00E46BE3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757C"/>
  <w15:chartTrackingRefBased/>
  <w15:docId w15:val="{84AC79B6-7E58-4175-9876-6B906F09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F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58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58F7"/>
    <w:rPr>
      <w:color w:val="0000FF"/>
      <w:u w:val="single"/>
    </w:rPr>
  </w:style>
  <w:style w:type="paragraph" w:customStyle="1" w:styleId="z1qcye">
    <w:name w:val="z1qcye"/>
    <w:basedOn w:val="Normal"/>
    <w:rsid w:val="0021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21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.gov/content/dam/copapwp-pagov/en/dos/department-and-offices/bpoa/speech/SLHSN%20-%202024%20Renewal%20Guide.pdf" TargetMode="External"/><Relationship Id="rId13" Type="http://schemas.openxmlformats.org/officeDocument/2006/relationships/hyperlink" Target="https://blog.pdresources.org/pennsylvania-speech-language-pathologists-continuing-education-and-license-renewals/" TargetMode="External"/><Relationship Id="rId18" Type="http://schemas.openxmlformats.org/officeDocument/2006/relationships/hyperlink" Target="https://www.pals.pa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.gov/services/dos/apply-for-or-renew-professional-licensing" TargetMode="External"/><Relationship Id="rId7" Type="http://schemas.openxmlformats.org/officeDocument/2006/relationships/hyperlink" Target="https://www.youtube.com/watch?v=gCc8I37-H18" TargetMode="External"/><Relationship Id="rId12" Type="http://schemas.openxmlformats.org/officeDocument/2006/relationships/hyperlink" Target="https://www.asha.org/" TargetMode="External"/><Relationship Id="rId17" Type="http://schemas.openxmlformats.org/officeDocument/2006/relationships/hyperlink" Target="https://blog.pdresources.org/pennsylvania-speech-language-pathologists-continuing-education-and-license-renewal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a.gov/agencies/dos/resources/professional-licensing-resources/act-31" TargetMode="External"/><Relationship Id="rId20" Type="http://schemas.openxmlformats.org/officeDocument/2006/relationships/hyperlink" Target="https://tinyeye.com/blog/empowering-speech-language-pathologists-and-audiologists-navigating-license-renewal-with-confidenc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als.pa.gov/" TargetMode="External"/><Relationship Id="rId11" Type="http://schemas.openxmlformats.org/officeDocument/2006/relationships/hyperlink" Target="https://www.pa.gov/services/dos/apply-for-or-renew-professional-licens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a.gov/agencies/dos/department-and-offices/bpoa/boards-commissions/speech-language-pathology-and-audiology" TargetMode="External"/><Relationship Id="rId15" Type="http://schemas.openxmlformats.org/officeDocument/2006/relationships/hyperlink" Target="https://www.pa.gov/agencies/dos/resources/professional-licensing-resources/act-31" TargetMode="External"/><Relationship Id="rId23" Type="http://schemas.openxmlformats.org/officeDocument/2006/relationships/hyperlink" Target="https://tinyeye.com/blog/empowering-speech-language-pathologists-and-audiologists-navigating-license-renewal-with-confidence.php" TargetMode="External"/><Relationship Id="rId10" Type="http://schemas.openxmlformats.org/officeDocument/2006/relationships/hyperlink" Target="https://tinyeye.com/blog/empowering-speech-language-pathologists-and-audiologists-navigating-license-renewal-with-confidence.php" TargetMode="External"/><Relationship Id="rId19" Type="http://schemas.openxmlformats.org/officeDocument/2006/relationships/hyperlink" Target="https://www.pa.gov/agencies/dos/department-and-offices/bpoa/boards-commissions/speech-language-pathology-and-audiology/renewal-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.gov/agencies/dos/department-and-offices/bpoa/boards-commissions/speech-language-pathology-and-audiology/renewal-information" TargetMode="External"/><Relationship Id="rId14" Type="http://schemas.openxmlformats.org/officeDocument/2006/relationships/hyperlink" Target="https://www.speechpathology.com/state-license-requirements/pennsylvania" TargetMode="External"/><Relationship Id="rId22" Type="http://schemas.openxmlformats.org/officeDocument/2006/relationships/hyperlink" Target="https://therapycomply.com/Pennsylvania/Speech-Therapy/Continuing-Educat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Lisa A.</dc:creator>
  <cp:keywords/>
  <dc:description/>
  <cp:lastModifiedBy>Butler, Lisa A.</cp:lastModifiedBy>
  <cp:revision>1</cp:revision>
  <cp:lastPrinted>2026-06-10T19:51:00Z</cp:lastPrinted>
  <dcterms:created xsi:type="dcterms:W3CDTF">2026-06-10T19:50:00Z</dcterms:created>
  <dcterms:modified xsi:type="dcterms:W3CDTF">2026-06-10T19:52:00Z</dcterms:modified>
</cp:coreProperties>
</file>